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Коммерческое предложение</w:t>
      </w:r>
    </w:p>
    <w:p>
      <w:pPr>
        <w:pStyle w:val="Subtitle"/>
      </w:pPr>
      <w:r>
        <w:t xml:space="preserve">CallOps — сервис управления звонками для колл-центров с выделенной инфраструктурой</w:t>
      </w:r>
    </w:p>
    <w:p>
      <w:pPr>
        <w:pStyle w:val="Body"/>
      </w:pPr>
      <w:r>
        <w:t xml:space="preserve">Предложение подготовлено для компаний, которым необходимо ускорить обработку входящих заявок, повысить процент дозвона, организовать прозрачную работу операторов и обеспечить контроль над телефонным каналом продаж.</w:t>
      </w:r>
    </w:p>
    <w:p>
      <w:pPr>
        <w:spacing w:after="120" w:before="400"/>
      </w:pPr>
      <w:r>
        <w:rPr>
          <w:b/>
          <w:bCs/>
          <w:sz w:val="22"/>
          <w:szCs w:val="22"/>
        </w:rPr>
        <w:t xml:space="preserve">Исполнитель: </w:t>
      </w:r>
      <w:r>
        <w:rPr>
          <w:sz w:val="22"/>
          <w:szCs w:val="22"/>
        </w:rPr>
        <w:t xml:space="preserve">ИП Аянбаев Т.</w:t>
      </w:r>
    </w:p>
    <w:p>
      <w:pPr>
        <w:spacing w:after="480" w:before="0"/>
      </w:pPr>
      <w:r>
        <w:rPr>
          <w:b/>
          <w:bCs/>
          <w:sz w:val="22"/>
          <w:szCs w:val="22"/>
        </w:rPr>
        <w:t xml:space="preserve">Контакты: </w:t>
      </w:r>
      <w:r>
        <w:rPr>
          <w:sz w:val="22"/>
          <w:szCs w:val="22"/>
        </w:rPr>
        <w:t xml:space="preserve">+7 705 277 12 12 · lead@callopts.kz</w:t>
      </w:r>
    </w:p>
    <w:p>
      <w:pPr>
        <w:pStyle w:val="Heading1"/>
      </w:pPr>
      <w:r>
        <w:t xml:space="preserve">1. Описание задачи клиента</w:t>
      </w:r>
    </w:p>
    <w:p>
      <w:pPr>
        <w:pStyle w:val="Body"/>
      </w:pPr>
      <w:r>
        <w:t xml:space="preserve">Настоящее предложение адресовано компаниям, у которых повторяются одни и те же узкие места: заявка поступает в CRM, но первый звонок происходит с задержкой; часть контактов остаётся без повторной обработки; операторы работают неравномерно; руководитель не видит полную картину по статусам звонков, качеству разговора и результатам команды.</w:t>
      </w:r>
    </w:p>
    <w:p>
      <w:pPr>
        <w:pStyle w:val="Body"/>
      </w:pPr>
      <w:r>
        <w:t xml:space="preserve">В нишах, где решение о покупке принимается быстро и клиент легко переключается на конкурента, задержка даже в 10–20 минут снижает конверсию. Особенно заметно это в проектах с высокой стоимостью привлечения лида и необходимостью подтверждения заказа в короткий срок.</w:t>
      </w:r>
    </w:p>
    <w:p>
      <w:pPr>
        <w:pStyle w:val="Callout"/>
      </w:pPr>
      <w:r>
        <w:t xml:space="preserve">Основная ценность CallOps — не в самой телефонии как таковой, а в управляемой системе обработки заявки: от момента поступления контакта до результата звонка, фиксации статуса и дальнейшей логики работы с клиентом.</w:t>
      </w:r>
    </w:p>
    <w:p>
      <w:pPr>
        <w:pStyle w:val="Heading1"/>
      </w:pPr>
      <w:r>
        <w:t xml:space="preserve">2. Какие задачи решает CallOps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Мгновенный или отложенный запуск обзвона по заявкам из CRM, CSV-файлов и внешних API.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Сценарии: робот, перевод на оператора, повторные дозвоны, исключения, приоритет горячих лидов.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Организация работы операторов через софтфон по умолчанию, с возможностью использования IP-телефонов.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Контроль статусов звонков, запись разговоров, базовая аналитика по результатам обработки.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Интеграция с вашей CRM через API.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Требование к CRM — 4 API-маршрута (выгрузка заявок, обновление статуса, получение товаров и справочников).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Гибкая доработка логики обзвона под реальные бизнес-процессы клиента, а не наоборот.</w:t>
      </w:r>
    </w:p>
    <w:p>
      <w:pPr>
        <w:pStyle w:val="Heading1"/>
      </w:pPr>
      <w:r>
        <w:t xml:space="preserve">3. Текущая ситуация, с которой обычно приходят клиенты</w:t>
      </w:r>
    </w:p>
    <w:p>
      <w:pPr>
        <w:pStyle w:val="Body"/>
      </w:pPr>
      <w:r>
        <w:t xml:space="preserve">До запуска управляемой системы компании обычно используют один из следующих подходов: ручной обзвон менеджерами из CRM; выгрузка контактов в Excel/CSV с ручным набором; облачную телефонию без гибкой логики распределения; разрозненные инструменты, в которых CRM, телефония и аналитика работают отдельно друг от друга.</w:t>
      </w:r>
    </w:p>
    <w:p>
      <w:pPr>
        <w:pStyle w:val="Body"/>
      </w:pPr>
      <w:r>
        <w:t xml:space="preserve">В проектах с продажами по телефону, подтверждением заказов, обзвоном собственной базы, напоминаниями, повторными продажами и реактивацией клиентов такая модель становится ограничением для роста. Лиды приходят, но управляемого механизма их оперативной обработки нет.</w:t>
      </w:r>
    </w:p>
    <w:p>
      <w:pPr>
        <w:pStyle w:val="Heading1"/>
      </w:pPr>
      <w:r>
        <w:t xml:space="preserve">4. Предлагаемое решение</w:t>
      </w:r>
    </w:p>
    <w:p>
      <w:pPr>
        <w:pStyle w:val="Body"/>
      </w:pPr>
      <w:r>
        <w:t xml:space="preserve">Мы предлагаем подключение CallOps — управляемого сервиса автоматического обзвона (управляемый сервис) с выделенной инфраструктурой под каждого клиента. Выделенный сервер размещается в дата-центре Исполнителя. Заказчику не требуется приобретать собственный сервер, разворачивать IP-АТС или содержать отдельную техническую команду для телефонии.</w:t>
      </w:r>
    </w:p>
    <w:p>
      <w:pPr>
        <w:pStyle w:val="Body"/>
      </w:pPr>
      <w:r>
        <w:t xml:space="preserve">Между сервером CallOps и офисом Заказчика поднимается защищённый канал. Данные клиента — записи разговоров, база контактов, история звонков — не пересекаются с инфраструктурой других клиентов и не попадают в публичные облачные сервисы.</w:t>
      </w:r>
    </w:p>
    <w:p>
      <w:pPr>
        <w:pStyle w:val="Body"/>
      </w:pPr>
      <w:r>
        <w:t xml:space="preserve">В отличие от коробочных решений, CallOps адаптируется под конкретную схему продаж: последовательность дозвонов, правила распределения лидов, обработку повторных попыток, сценарии по статусам, условия перевода на оператора, логику передачи результатов обратно в CRM и дополнительные пользовательские статусы.</w:t>
      </w:r>
    </w:p>
    <w:p>
      <w:pPr>
        <w:pStyle w:val="Heading1"/>
      </w:pPr>
      <w:r>
        <w:t xml:space="preserve">5. Как работает система в базовом сценарии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5760"/>
        <w:gridCol w:w="2880"/>
      </w:tblGrid>
      <w:tr>
        <w:trPr>
          <w:tblHeader/>
        </w:trPr>
        <w:tc>
          <w:tcPr>
            <w:tcW w:type="dxa" w:w="72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Этап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Описание процесса</w:t>
            </w:r>
          </w:p>
        </w:tc>
        <w:tc>
          <w:tcPr>
            <w:tcW w:type="dxa" w:w="288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Результат</w:t>
            </w:r>
          </w:p>
        </w:tc>
      </w:tr>
      <w:tr>
        <w:trPr>
          <w:tblHeader w:val="false"/>
        </w:trPr>
        <w:tc>
          <w:tcPr>
            <w:tcW w:type="dxa" w:w="72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1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Заявка поступает из CRM, CSV-файла либо по API во входящую очередь обзвона.</w:t>
            </w:r>
          </w:p>
        </w:tc>
        <w:tc>
          <w:tcPr>
            <w:tcW w:type="dxa" w:w="288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Контакт принят системой</w:t>
            </w:r>
          </w:p>
        </w:tc>
      </w:tr>
      <w:tr>
        <w:trPr>
          <w:tblHeader w:val="false"/>
        </w:trPr>
        <w:tc>
          <w:tcPr>
            <w:tcW w:type="dxa" w:w="72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2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Для заявки определяется кампания, приоритет, сценарий и правила повторных попыток.</w:t>
            </w:r>
          </w:p>
        </w:tc>
        <w:tc>
          <w:tcPr>
            <w:tcW w:type="dxa" w:w="288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Сформирована логика обзвона</w:t>
            </w:r>
          </w:p>
        </w:tc>
      </w:tr>
      <w:tr>
        <w:trPr>
          <w:tblHeader w:val="false"/>
        </w:trPr>
        <w:tc>
          <w:tcPr>
            <w:tcW w:type="dxa" w:w="72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3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Система инициирует звонок по заданным правилам через подключённый SIP-транк Заказчика.</w:t>
            </w:r>
          </w:p>
        </w:tc>
        <w:tc>
          <w:tcPr>
            <w:tcW w:type="dxa" w:w="288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Запущен дозвон</w:t>
            </w:r>
          </w:p>
        </w:tc>
      </w:tr>
      <w:tr>
        <w:trPr>
          <w:tblHeader w:val="false"/>
        </w:trPr>
        <w:tc>
          <w:tcPr>
            <w:tcW w:type="dxa" w:w="72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4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При ответе клиента срабатывает нужный маршрут: робот, соединение с оператором, IVR.</w:t>
            </w:r>
          </w:p>
        </w:tc>
        <w:tc>
          <w:tcPr>
            <w:tcW w:type="dxa" w:w="288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Звонок обработан</w:t>
            </w:r>
          </w:p>
        </w:tc>
      </w:tr>
      <w:tr>
        <w:trPr>
          <w:tblHeader w:val="false"/>
        </w:trPr>
        <w:tc>
          <w:tcPr>
            <w:tcW w:type="dxa" w:w="72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5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Результат фиксируется в системе и, при необходимости, передаётся обратно в CRM.</w:t>
            </w:r>
          </w:p>
        </w:tc>
        <w:tc>
          <w:tcPr>
            <w:tcW w:type="dxa" w:w="288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Статус зафиксирован</w:t>
            </w:r>
          </w:p>
        </w:tc>
      </w:tr>
      <w:tr>
        <w:trPr>
          <w:tblHeader w:val="false"/>
        </w:trPr>
        <w:tc>
          <w:tcPr>
            <w:tcW w:type="dxa" w:w="72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6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Руководитель и оператор получают доступ к журналу, статистике и истории.</w:t>
            </w:r>
          </w:p>
        </w:tc>
        <w:tc>
          <w:tcPr>
            <w:tcW w:type="dxa" w:w="288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Есть прозрачная аналитика</w:t>
            </w:r>
          </w:p>
        </w:tc>
      </w:tr>
    </w:tbl>
    <w:p>
      <w:pPr>
        <w:pStyle w:val="Heading1"/>
      </w:pPr>
      <w:r>
        <w:t xml:space="preserve">6. Основные характеристики решения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Параметр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Предлагаемое решение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Модель использования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Управляемый сервис с выделенной инфраструктурой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Тип продукта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Система автоматического обзвона с функциями IP-телефонии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Размещение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Выделенный сервер в дата-центре Исполнителя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Подключение операторов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Софтфон по умолчанию, опционально — IP-телефоны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Защищённый канал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Между сервером CallOps и офисом Заказчика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Загрузка базы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CSV, CRM, API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Интеграции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Через API или импорт CSV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Требование к CRM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4 обязательных API-маршрута (выгрузка заявок, обновление статуса, товары, справочники)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Телефонные линии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SIP-транки Заказчика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Сценарии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Повторные дозвоны, расписания, перевод на оператора, IVR, статусы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Гибкость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Доработка логики и функционала под процессы Заказчика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Формат запуска</w:t>
            </w:r>
          </w:p>
        </w:tc>
        <w:tc>
          <w:tcPr>
            <w:tcW w:type="dxa" w:w="57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Пилотный период с последующим переходом в коммерческую эксплуатацию</w:t>
            </w:r>
          </w:p>
        </w:tc>
      </w:tr>
    </w:tbl>
    <w:p>
      <w:pPr>
        <w:pStyle w:val="Heading1"/>
      </w:pPr>
      <w:r>
        <w:t xml:space="preserve">7. Сценарии использования</w:t>
      </w:r>
    </w:p>
    <w:p>
      <w:pPr>
        <w:pStyle w:val="Body"/>
      </w:pPr>
      <w:r>
        <w:t xml:space="preserve">CallOps подходит для подтверждения заявок и заказов, реактивации базы, повторных продаж, сервисных уведомлений и других задач, где критична скорость первого касания или системная повторная обработка клиента.</w:t>
      </w:r>
    </w:p>
    <w:p>
      <w:pPr>
        <w:pStyle w:val="Heading2"/>
      </w:pPr>
      <w:r>
        <w:t xml:space="preserve">7.1. Подтверждение заявок и заказов</w:t>
      </w:r>
    </w:p>
    <w:p>
      <w:pPr>
        <w:pStyle w:val="Body"/>
      </w:pPr>
      <w:r>
        <w:t xml:space="preserve">Сценарий применяется там, где важна скорость первого касания: интернет-магазины, БАДы, офферы с телефонным подтверждением, заявки с лендингов, трафик из арбитража и маркетплейсов. Система автоматически берёт новый контакт и запускает обзвон в течение короткого времени после поступления заявки.</w:t>
      </w:r>
    </w:p>
    <w:p>
      <w:pPr>
        <w:pStyle w:val="Body"/>
      </w:pPr>
      <w:r>
        <w:t xml:space="preserve">При необходимости реализуются отдельные ветки для новых лидов, недозвона, повторного звонка через заданный интервал, а также отдельные очереди для горячих и обычных заявок.</w:t>
      </w:r>
    </w:p>
    <w:p>
      <w:pPr>
        <w:pStyle w:val="Heading2"/>
      </w:pPr>
      <w:r>
        <w:t xml:space="preserve">7.2. Реактивация базы и повторные продажи</w:t>
      </w:r>
    </w:p>
    <w:p>
      <w:pPr>
        <w:pStyle w:val="Body"/>
      </w:pPr>
      <w:r>
        <w:t xml:space="preserve">Возврат клиентов из ранее накопленной базы. Контакты загружаются из CSV или по API, разбиваются на сегменты и обрабатываются по разным кампаниям. Удобно для повторных продаж, возврата клиентов, информирования о новых предложениях и запуска акций по собственной базе.</w:t>
      </w:r>
    </w:p>
    <w:p>
      <w:pPr>
        <w:pStyle w:val="Heading2"/>
      </w:pPr>
      <w:r>
        <w:t xml:space="preserve">7.3. Информирование и сервисные уведомления</w:t>
      </w:r>
    </w:p>
    <w:p>
      <w:pPr>
        <w:pStyle w:val="Body"/>
      </w:pPr>
      <w:r>
        <w:t xml:space="preserve">CallOps используется для напоминаний, уведомлений, сервисных обзвонов и распределения входящей нагрузки на операторов. Часть сценариев может работать полностью автоматически, часть — передаваться оператору только в момент реального ответа клиента.</w:t>
      </w:r>
    </w:p>
    <w:p>
      <w:pPr>
        <w:pStyle w:val="Heading1"/>
      </w:pPr>
      <w:r>
        <w:t xml:space="preserve">8. Что входит в состав решения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Выделенный сервер CallOps в дата-центре Исполнителя.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Первичная настройка рабочих параметров и базовой конфигурации.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Настройка кампаний, очередей обработки и маршрутов звонков по согласованной логике.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Интеграция с CRM Заказчика через API при наличии технической возможности.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Подключение SIP-транков и согласование параметров с оператором связи Заказчика.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Защищённый канал между сервером CallOps и офисом Заказчика.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Настройка операторских рабочих мест и тестирование базового сценария.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Пилотный запуск на тестовой или рабочей базе Заказчика.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Сопровождение на этапе ввода в эксплуатацию и корректировка согласованной логики.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Техническая поддержка инфраструктуры 24/7 и регулярные обновления системы.</w:t>
      </w:r>
    </w:p>
    <w:p>
      <w:pPr>
        <w:pStyle w:val="Heading1"/>
      </w:pPr>
      <w:r>
        <w:t xml:space="preserve">9. Что может быть доработано дополнительно</w:t>
      </w:r>
    </w:p>
    <w:p>
      <w:pPr>
        <w:pStyle w:val="Body"/>
      </w:pPr>
      <w:r>
        <w:t xml:space="preserve">Для ряда клиентов базовая конфигурация является только стартовой точкой. В процессе запуска и эксплуатации мы можем дорабатывать как прикладную логику обзвона, так и отдельные интерфейсные или интеграционные элементы: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правила повторных дозвонов по времени суток, дням недели и статусам;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разделение кампаний по источникам трафика, географии и приоритетам;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автоматическая сегментация базы и правила исключения контактов;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кастомные статусы и возврат результатов в CRM;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дополнительные пользовательские поля в карточках;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логика распределения по операторам и группам;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нестандартные сценарии IVR и цепочки «робот → оператор → повторная обработка».</w:t>
      </w:r>
    </w:p>
    <w:p>
      <w:pPr>
        <w:pStyle w:val="Body"/>
      </w:pPr>
      <w:r>
        <w:t xml:space="preserve">Заказчик получает не просто доступ к телефонии, а систему, которую можно адаптировать под собственную бизнес-модель без смены платформы.</w:t>
      </w:r>
    </w:p>
    <w:p>
      <w:pPr>
        <w:pStyle w:val="Heading1"/>
      </w:pPr>
      <w:r>
        <w:t xml:space="preserve">10. Требования к инфраструктуре Заказчика</w:t>
      </w:r>
    </w:p>
    <w:p>
      <w:pPr>
        <w:pStyle w:val="Body"/>
      </w:pPr>
      <w:r>
        <w:t xml:space="preserve">Поскольку сервер CallOps размещён в дата-центре Исполнителя, основные требования касаются качества интернет-доступа, сетевой готовности и корректного взаимодействия с SIP-провайдерами и CRM Заказчика. Мы сознательно подробно описываем этот блок — именно сеть и внешние ограничения чаще всего становятся причиной претензий к качеству телефонии.</w:t>
      </w:r>
    </w:p>
    <w:p>
      <w:pPr>
        <w:pStyle w:val="Callout"/>
      </w:pPr>
      <w:r>
        <w:t xml:space="preserve">Сетевая инфраструктура Заказчика находится в его зоне ответственности. Исполнитель обеспечивает работоспособность системы CallOps и корректность своей настройки, но не отвечает за деградацию канала, нестабильность интернет-провайдера, ограничения маршрутизаторов или ошибки сторонних систем.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Стабильный доступ в интернет в офисе и на удалённых рабочих местах операторов.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Сетевое оборудование по спецификации Исполнителя на стороне Заказчика — для защищённого подключения к серверу CallOps. Спецификацию и инструкции предоставляем.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IT-специалист или системный администратор со стороны Заказчика для оперативного взаимодействия по вопросам сети, доступов и интеграций.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Корректная работа SIP-трафика, отсутствие блокировок, препятствующих регистрации устройств и прохождению RTP-потока.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При использовании аппаратных телефонов, роутеров или особых сетевых политик — готовность скорректировать SIP ALG, NAT и аналогичные ограничения по запросу Исполнителя.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Параметры CRM и API, а также контакт специалиста CRM-команды Заказчика, если интеграция требует их участия.</w:t>
      </w:r>
    </w:p>
    <w:p>
      <w:pPr>
        <w:pStyle w:val="Heading1"/>
      </w:pPr>
      <w:r>
        <w:t xml:space="preserve">11. Этапы запуска проекта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5000"/>
        <w:gridCol w:w="3460"/>
      </w:tblGrid>
      <w:tr>
        <w:trPr>
          <w:tblHeader/>
        </w:trPr>
        <w:tc>
          <w:tcPr>
            <w:tcW w:type="dxa" w:w="9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Этап</w:t>
            </w:r>
          </w:p>
        </w:tc>
        <w:tc>
          <w:tcPr>
            <w:tcW w:type="dxa" w:w="50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Содержание</w:t>
            </w:r>
          </w:p>
        </w:tc>
        <w:tc>
          <w:tcPr>
            <w:tcW w:type="dxa" w:w="34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Комментарий</w:t>
            </w:r>
          </w:p>
        </w:tc>
      </w:tr>
      <w:tr>
        <w:trPr>
          <w:tblHeader w:val="false"/>
        </w:trPr>
        <w:tc>
          <w:tcPr>
            <w:tcW w:type="dxa" w:w="9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I</w:t>
            </w:r>
          </w:p>
        </w:tc>
        <w:tc>
          <w:tcPr>
            <w:tcW w:type="dxa" w:w="50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Сбор вводных, анализ процесса клиента, согласование сценариев и бизнес-логики.</w:t>
            </w:r>
          </w:p>
        </w:tc>
        <w:tc>
          <w:tcPr>
            <w:tcW w:type="dxa" w:w="34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Фиксируем реальную задачу, а не только список функций.</w:t>
            </w:r>
          </w:p>
        </w:tc>
      </w:tr>
      <w:tr>
        <w:trPr>
          <w:tblHeader w:val="false"/>
        </w:trPr>
        <w:tc>
          <w:tcPr>
            <w:tcW w:type="dxa" w:w="9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II</w:t>
            </w:r>
          </w:p>
        </w:tc>
        <w:tc>
          <w:tcPr>
            <w:tcW w:type="dxa" w:w="50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Подготовка выделенного сервера, согласование SIP-параметров, подготовка CRM/API и схемы интеграции.</w:t>
            </w:r>
          </w:p>
        </w:tc>
        <w:tc>
          <w:tcPr>
            <w:tcW w:type="dxa" w:w="34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Параллельно определяется состав операторов и схема кампаний.</w:t>
            </w:r>
          </w:p>
        </w:tc>
      </w:tr>
      <w:tr>
        <w:trPr>
          <w:tblHeader w:val="false"/>
        </w:trPr>
        <w:tc>
          <w:tcPr>
            <w:tcW w:type="dxa" w:w="9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III</w:t>
            </w:r>
          </w:p>
        </w:tc>
        <w:tc>
          <w:tcPr>
            <w:tcW w:type="dxa" w:w="50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Установка сетевого оборудования у Заказчика, поднятие защищённого канала, первичная настройка CallOps, создание кампаний и операторских мест.</w:t>
            </w:r>
          </w:p>
        </w:tc>
        <w:tc>
          <w:tcPr>
            <w:tcW w:type="dxa" w:w="34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Формируется рабочая базовая конфигурация.</w:t>
            </w:r>
          </w:p>
        </w:tc>
      </w:tr>
      <w:tr>
        <w:trPr>
          <w:tblHeader w:val="false"/>
        </w:trPr>
        <w:tc>
          <w:tcPr>
            <w:tcW w:type="dxa" w:w="9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IV</w:t>
            </w:r>
          </w:p>
        </w:tc>
        <w:tc>
          <w:tcPr>
            <w:tcW w:type="dxa" w:w="50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Пилотный запуск и тестирование согласованных сценариев на данных Заказчика.</w:t>
            </w:r>
          </w:p>
        </w:tc>
        <w:tc>
          <w:tcPr>
            <w:tcW w:type="dxa" w:w="34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Проверяется фактическая логика обработки заявки.</w:t>
            </w:r>
          </w:p>
        </w:tc>
      </w:tr>
      <w:tr>
        <w:trPr>
          <w:tblHeader w:val="false"/>
        </w:trPr>
        <w:tc>
          <w:tcPr>
            <w:tcW w:type="dxa" w:w="9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V</w:t>
            </w:r>
          </w:p>
        </w:tc>
        <w:tc>
          <w:tcPr>
            <w:tcW w:type="dxa" w:w="50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Корректировка, запуск в коммерческую эксплуатацию и переход на регулярное использование.</w:t>
            </w:r>
          </w:p>
        </w:tc>
        <w:tc>
          <w:tcPr>
            <w:tcW w:type="dxa" w:w="34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После этого возможны новые доработки по отдельным задачам.</w:t>
            </w:r>
          </w:p>
        </w:tc>
      </w:tr>
    </w:tbl>
    <w:p>
      <w:pPr>
        <w:pStyle w:val="Heading1"/>
      </w:pPr>
      <w:r>
        <w:t xml:space="preserve">12. Пилотный запуск</w:t>
      </w:r>
    </w:p>
    <w:p>
      <w:pPr>
        <w:pStyle w:val="Body"/>
      </w:pPr>
      <w:r>
        <w:t xml:space="preserve">Мы рекомендуем начинать работу с пилотного запуска — это наиболее практичный способ проверить систему на реальных лидах клиента, оценить маршруты звонков, убедиться в корректности интеграции и понять, какие именно нюансы нужно скорректировать до полномасштабной эксплуатации.</w:t>
      </w:r>
    </w:p>
    <w:p>
      <w:pPr>
        <w:pStyle w:val="Body"/>
      </w:pPr>
      <w:r>
        <w:t xml:space="preserve">Пилот предоставляется на условно платной основе. Стоимость пилота засчитывается в последующую абонентскую плату при переходе Заказчика в коммерческую эксплуатацию. Такой формат дисциплинирует запуск и позволяет обеим сторонам работать с реальной мотивацией.</w:t>
      </w:r>
    </w:p>
    <w:p>
      <w:pPr>
        <w:pStyle w:val="Heading1"/>
      </w:pPr>
      <w:r>
        <w:t xml:space="preserve">13. Стоимость и тарифная модель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500"/>
        <w:gridCol w:w="3260"/>
      </w:tblGrid>
      <w:tr>
        <w:trPr>
          <w:tblHeader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Позиция</w:t>
            </w:r>
          </w:p>
        </w:tc>
        <w:tc>
          <w:tcPr>
            <w:tcW w:type="dxa" w:w="25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Стоимость</w:t>
            </w:r>
          </w:p>
        </w:tc>
        <w:tc>
          <w:tcPr>
            <w:tcW w:type="dxa" w:w="32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shd w:fill="E8F0F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/>
                <w:bCs/>
                <w:color w:val="0B1220"/>
                <w:sz w:val="20"/>
                <w:szCs w:val="20"/>
              </w:rPr>
              <w:t xml:space="preserve">Комментарий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Базовая абонентская плата</w:t>
            </w:r>
          </w:p>
        </w:tc>
        <w:tc>
          <w:tcPr>
            <w:tcW w:type="dxa" w:w="25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200 000 ₸ / мес</w:t>
            </w:r>
          </w:p>
        </w:tc>
        <w:tc>
          <w:tcPr>
            <w:tcW w:type="dxa" w:w="32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Выделенный сервер CallOps, инфраструктура, защищённый канал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Доплата за одного оператора</w:t>
            </w:r>
          </w:p>
        </w:tc>
        <w:tc>
          <w:tcPr>
            <w:tcW w:type="dxa" w:w="25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10 000 ₸ / мес</w:t>
            </w:r>
          </w:p>
        </w:tc>
        <w:tc>
          <w:tcPr>
            <w:tcW w:type="dxa" w:w="32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Начисляется за каждого подключённого оператора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Пилотный запуск</w:t>
            </w:r>
          </w:p>
        </w:tc>
        <w:tc>
          <w:tcPr>
            <w:tcW w:type="dxa" w:w="25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Условно платный</w:t>
            </w:r>
          </w:p>
        </w:tc>
        <w:tc>
          <w:tcPr>
            <w:tcW w:type="dxa" w:w="32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Стоимость засчитывается при переходе в коммерческий режим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Доработки и нестандартные интеграции</w:t>
            </w:r>
          </w:p>
        </w:tc>
        <w:tc>
          <w:tcPr>
            <w:tcW w:type="dxa" w:w="25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По отдельному согласованию</w:t>
            </w:r>
          </w:p>
        </w:tc>
        <w:tc>
          <w:tcPr>
            <w:tcW w:type="dxa" w:w="32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Оцениваются исходя из объёма и сложности задач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Сетевое оборудование по спецификации</w:t>
            </w:r>
          </w:p>
        </w:tc>
        <w:tc>
          <w:tcPr>
            <w:tcW w:type="dxa" w:w="250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Приобретается Заказчиком</w:t>
            </w:r>
          </w:p>
        </w:tc>
        <w:tc>
          <w:tcPr>
            <w:tcW w:type="dxa" w:w="3260"/>
            <w:tcBorders>
              <w:top w:val="single" w:color="CCD6E0" w:sz="4"/>
              <w:left w:val="single" w:color="CCD6E0" w:sz="4"/>
              <w:bottom w:val="single" w:color="CCD6E0" w:sz="4"/>
              <w:right w:val="single" w:color="CCD6E0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 w:line="300"/>
            </w:pPr>
            <w:r>
              <w:rPr>
                <w:b w:val="false"/>
                <w:bCs w:val="false"/>
                <w:color w:val="0B1220"/>
                <w:sz w:val="20"/>
                <w:szCs w:val="20"/>
              </w:rPr>
              <w:t xml:space="preserve">Разовая закупка, согласно требованиям Исполнителя</w:t>
            </w:r>
          </w:p>
        </w:tc>
      </w:tr>
    </w:tbl>
    <w:p>
      <w:pPr>
        <w:pStyle w:val="Body"/>
      </w:pPr>
      <w:r>
        <w:t xml:space="preserve">Стоимость не включает услуги сторонних SIP-провайдеров и лицензии CRM Заказчика. Примеры расчёта: 5 операторов — 250 000 ₸/мес; 10 операторов — 300 000 ₸/мес; 20 операторов — 400 000 ₸/мес; 50 операторов — 700 000 ₸/мес.</w:t>
      </w:r>
    </w:p>
    <w:p>
      <w:pPr>
        <w:pStyle w:val="Heading1"/>
      </w:pPr>
      <w:r>
        <w:t xml:space="preserve">14. Почему для клиента это выгодно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Ваши данные — только у вас: выделенный сервер, защищённый канал, отсутствие шаринга с другими клиентами.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Не требуется IT-отдел: мы закрываем весь технический стек, от сервера до обновлений.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Не нужно менять привычную CRM — подключаемся через API при наличии 4 обязательных маршрутов.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Логика обзвона настраивается под бизнес-процесс клиента, а не наоборот.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Руководитель получает прозрачность по звонкам, статусам и работе операторов.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Можно начать с пилота и наращивать сценарии по мере необходимости.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Интеллектуальные права на платформу принадлежат Исполнителю — развитие системы не зависит от сторонних интеграторов.</w:t>
      </w:r>
    </w:p>
    <w:p>
      <w:pPr>
        <w:pStyle w:val="Heading1"/>
      </w:pPr>
      <w:r>
        <w:t xml:space="preserve">15. Коммерческие и организационные допущения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Предложение подготовлено на основании текущих вводных и может быть уточнено после брифа и демонстрации.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Конечный объём интеграции зависит от возможностей CRM, наличия API и готовности сторонних специалистов к взаимодействию.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Сроки запуска определяются скоростью предоставления доступов, SIP-параметров, тестовых данных и согласования сценариев.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Изменение состава операторов влияет на размер ежемесячной абонентской платы.</w:t>
      </w:r>
    </w:p>
    <w:p>
      <w:pPr>
        <w:pStyle w:val="ListParagraph"/>
        <w:numPr>
          <w:ilvl w:val="0"/>
          <w:numId w:val="2"/>
        </w:numPr>
        <w:spacing w:after="60" w:before="40" w:line="300"/>
      </w:pPr>
      <w:r>
        <w:rPr>
          <w:sz w:val="22"/>
          <w:szCs w:val="22"/>
        </w:rPr>
        <w:t xml:space="preserve">Нестандартные доработки, выходящие за рамки типовой конфигурации, оформляются отдельно.</w:t>
      </w:r>
    </w:p>
    <w:p>
      <w:pPr>
        <w:pStyle w:val="Heading1"/>
      </w:pPr>
      <w:r>
        <w:t xml:space="preserve">16. Следующий шаг</w:t>
      </w:r>
    </w:p>
    <w:p>
      <w:pPr>
        <w:pStyle w:val="Body"/>
      </w:pPr>
      <w:r>
        <w:t xml:space="preserve">Для перехода к запуску предлагаем следующий порядок действий: короткий бриф → демонстрация под задачу клиента → согласование сценария → пилот → коммерческая эксплуатация. Такой подход позволяет не покупать систему «вслепую», а принять решение на основе практического теста.</w:t>
      </w:r>
    </w:p>
    <w:p>
      <w:pPr>
        <w:pStyle w:val="Body"/>
      </w:pPr>
      <w:r>
        <w:t xml:space="preserve">Если у Заказчика уже есть CRM, SIP-провайдер, действующие операторы и накопленная база — запуск организуется максимально быстро. Если часть компонентов отсутствует, мы поможем определить последовательность действий и требования к окружению.</w:t>
      </w:r>
    </w:p>
    <w:p>
      <w:pPr>
        <w:pBdr>
          <w:top w:val="single" w:color="1F6FFF" w:sz="12" w:space="12"/>
        </w:pBdr>
        <w:spacing w:after="0" w:before="480"/>
      </w:pPr>
      <w:r>
        <w:rPr>
          <w:color w:val="5A6B80"/>
          <w:sz w:val="20"/>
          <w:szCs w:val="20"/>
        </w:rPr>
        <w:t xml:space="preserve">CallOps · lead@callopts.kz · +7 705 277 12 12 · callops.kz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color w:val="5A6B80"/>
        <w:sz w:val="18"/>
        <w:szCs w:val="18"/>
      </w:rPr>
      <w:t xml:space="preserve">Страница </w:t>
    </w:r>
    <w:r>
      <w:rPr>
        <w:color w:val="5A6B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5A6B80"/>
        <w:sz w:val="18"/>
        <w:szCs w:val="18"/>
      </w:rPr>
      <w:t xml:space="preserve"> из </w:t>
    </w:r>
    <w:r>
      <w:rPr>
        <w:color w:val="5A6B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sz="12" w:space="4" w:color="1F6FFF"/>
      </w:pBdr>
      <w:tabs>
        <w:tab w:val="right" w:pos="9360"/>
      </w:tabs>
      <w:spacing w:after="0" w:before="0" w:line="240"/>
    </w:pPr>
    <w:r>
      <w:rPr>
        <w:noProof/>
      </w:rPr>
      <w:drawing>
        <wp:inline distT="0" distB="0" distL="0" distR="0">
          <wp:extent cx="957376" cy="274320"/>
          <wp:effectExtent l="0" t="0" r="0" b="0"/>
          <wp:docPr id="1" name="Logo Call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llOps"/>
                  <pic:cNvPicPr/>
                </pic:nvPicPr>
                <pic:blipFill>
                  <a:blip r:embed="rIdLogo"/>
                  <a:stretch>
                    <a:fillRect/>
                  </a:stretch>
                </pic:blipFill>
                <pic:spPr>
                  <a:xfrm>
                    <a:off x="0" y="0"/>
                    <a:ext cx="957376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Manrope" w:cs="Manrope" w:hAnsi="Manrope"/>
        <w:color w:val="5A6B80"/>
        <w:sz w:val="18"/>
        <w:szCs w:val="18"/>
      </w:rPr>
      <w:t xml:space="preserve">Коммерческое предложение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1F6FFF"/>
      <w:sz w:val="32"/>
      <w:szCs w:val="32"/>
    </w:rPr>
  </w:style>
  <w:style w:type="paragraph" w:styleId="Heading2">
    <w:name w:val="Heading 2"/>
    <w:basedOn w:val="Normal"/>
    <w:next w:val="Normal"/>
    <w:qFormat/>
    <w:rPr>
      <w:color w:val="1F6FFF"/>
      <w:sz w:val="26"/>
      <w:szCs w:val="26"/>
    </w:rPr>
  </w:style>
  <w:style w:type="paragraph" w:styleId="Heading3">
    <w:name w:val="Heading 3"/>
    <w:basedOn w:val="Normal"/>
    <w:next w:val="Normal"/>
    <w:qFormat/>
    <w:rPr>
      <w:color w:val="0B1220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1F6FFF"/>
    </w:rPr>
  </w:style>
  <w:style w:type="paragraph" w:styleId="Heading5">
    <w:name w:val="Heading 5"/>
    <w:basedOn w:val="Normal"/>
    <w:next w:val="Normal"/>
    <w:qFormat/>
    <w:rPr>
      <w:color w:val="1F6FFF"/>
    </w:rPr>
  </w:style>
  <w:style w:type="paragraph" w:styleId="Heading6">
    <w:name w:val="Heading 6"/>
    <w:basedOn w:val="Normal"/>
    <w:next w:val="Normal"/>
    <w:qFormat/>
    <w:rPr>
      <w:color w:val="0B12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0"/>
      <w:jc w:val="left"/>
    </w:pPr>
    <w:rPr>
      <w:rFonts w:ascii="Arial" w:cs="Arial" w:eastAsia="Arial" w:hAnsi="Arial"/>
      <w:b/>
      <w:bCs/>
      <w:color w:val="0B1220"/>
      <w:sz w:val="44"/>
      <w:szCs w:val="44"/>
    </w:rPr>
  </w:style>
  <w:style w:type="paragraph" w:styleId="Subtitle">
    <w:name w:val="Subtitle"/>
    <w:basedOn w:val="Normal"/>
    <w:next w:val="Normal"/>
    <w:pPr>
      <w:spacing w:after="360" w:before="0"/>
      <w:jc w:val="left"/>
    </w:pPr>
    <w:rPr>
      <w:rFonts w:ascii="Arial" w:cs="Arial" w:eastAsia="Arial" w:hAnsi="Arial"/>
      <w:color w:val="5A6B80"/>
      <w:sz w:val="24"/>
      <w:szCs w:val="24"/>
    </w:rPr>
  </w:style>
  <w:style w:type="paragraph" w:styleId="Heading1">
    <w:name w:val="Heading 1"/>
    <w:basedOn w:val="Normal"/>
    <w:next w:val="Normal"/>
    <w:qFormat/>
    <w:pPr>
      <w:spacing w:after="160" w:before="400"/>
      <w:outlineLvl w:val="0"/>
    </w:pPr>
    <w:rPr>
      <w:rFonts w:ascii="Arial" w:cs="Arial" w:eastAsia="Arial" w:hAnsi="Arial"/>
      <w:b/>
      <w:bCs/>
      <w:color w:val="0B1220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0B1220"/>
      <w:sz w:val="24"/>
      <w:szCs w:val="24"/>
    </w:rPr>
  </w:style>
  <w:style w:type="paragraph" w:styleId="Body">
    <w:name w:val="Body"/>
    <w:basedOn w:val="Normal"/>
    <w:next w:val="Normal"/>
    <w:pPr>
      <w:spacing w:after="160" w:before="0" w:line="320"/>
    </w:pPr>
    <w:rPr>
      <w:rFonts w:ascii="Arial" w:cs="Arial" w:eastAsia="Arial" w:hAnsi="Arial"/>
      <w:color w:val="0B1220"/>
      <w:sz w:val="22"/>
      <w:szCs w:val="22"/>
    </w:rPr>
  </w:style>
  <w:style w:type="paragraph" w:styleId="Callout">
    <w:name w:val="Callout"/>
    <w:basedOn w:val="Normal"/>
    <w:next w:val="Normal"/>
    <w:pPr>
      <w:pBdr>
        <w:left w:val="single" w:color="1F6FFF" w:sz="24" w:space="12"/>
      </w:pBdr>
      <w:spacing w:after="200" w:before="200" w:line="320"/>
      <w:ind w:left="240"/>
    </w:pPr>
    <w:rPr>
      <w:rFonts w:ascii="Arial" w:cs="Arial" w:eastAsia="Arial" w:hAnsi="Arial"/>
      <w:i/>
      <w:iCs/>
      <w:color w:val="0B122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Logo" Type="http://schemas.openxmlformats.org/officeDocument/2006/relationships/image" Target="media/logo_heade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2026-04-21T23:08:55.452Z</dcterms:created>
  <dcterms:modified xsi:type="dcterms:W3CDTF">2026-04-21T23:08:55.452Z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